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61" w:afterLines="50" w:line="240" w:lineRule="auto"/>
        <w:ind w:left="0" w:leftChars="0" w:right="0" w:rightChars="0" w:firstLine="0" w:firstLineChars="0"/>
        <w:jc w:val="center"/>
        <w:textAlignment w:val="auto"/>
        <w:outlineLvl w:val="9"/>
        <w:rPr>
          <w:rFonts w:eastAsia="仿宋_GB2312"/>
          <w:b/>
          <w:bCs/>
          <w:kern w:val="0"/>
          <w:sz w:val="36"/>
          <w:szCs w:val="36"/>
          <w:lang w:bidi="hi-IN"/>
        </w:rPr>
      </w:pPr>
      <w:r>
        <w:rPr>
          <w:rFonts w:eastAsia="仿宋_GB2312"/>
          <w:b/>
          <w:bCs/>
          <w:kern w:val="0"/>
          <w:sz w:val="36"/>
          <w:szCs w:val="36"/>
          <w:lang w:bidi="hi-IN"/>
        </w:rPr>
        <w:t>201</w:t>
      </w:r>
      <w:r>
        <w:rPr>
          <w:rFonts w:hint="eastAsia" w:eastAsia="仿宋_GB2312"/>
          <w:b/>
          <w:bCs/>
          <w:kern w:val="0"/>
          <w:sz w:val="36"/>
          <w:szCs w:val="36"/>
          <w:lang w:val="en-US" w:eastAsia="zh-CN" w:bidi="hi-IN"/>
        </w:rPr>
        <w:t>7</w:t>
      </w:r>
      <w:r>
        <w:rPr>
          <w:rFonts w:eastAsia="仿宋_GB2312"/>
          <w:b/>
          <w:bCs/>
          <w:kern w:val="0"/>
          <w:sz w:val="36"/>
          <w:szCs w:val="36"/>
          <w:lang w:bidi="hi-IN"/>
        </w:rPr>
        <w:t>年高等教育研究项目结题验收及年度检查答辩</w:t>
      </w:r>
      <w:r>
        <w:rPr>
          <w:rFonts w:hint="eastAsia" w:eastAsia="仿宋_GB2312"/>
          <w:b/>
          <w:bCs/>
          <w:kern w:val="0"/>
          <w:sz w:val="36"/>
          <w:szCs w:val="36"/>
          <w:lang w:val="en-US" w:eastAsia="zh-CN" w:bidi="hi-IN"/>
        </w:rPr>
        <w:t>名单及</w:t>
      </w:r>
      <w:r>
        <w:rPr>
          <w:rFonts w:eastAsia="仿宋_GB2312"/>
          <w:b/>
          <w:bCs/>
          <w:kern w:val="0"/>
          <w:sz w:val="36"/>
          <w:szCs w:val="36"/>
          <w:lang w:bidi="hi-IN"/>
        </w:rPr>
        <w:t>顺序表</w:t>
      </w:r>
    </w:p>
    <w:tbl>
      <w:tblPr>
        <w:tblStyle w:val="3"/>
        <w:tblW w:w="12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19"/>
        <w:gridCol w:w="2016"/>
        <w:gridCol w:w="5845"/>
        <w:gridCol w:w="630"/>
        <w:gridCol w:w="900"/>
        <w:gridCol w:w="710"/>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18" w:type="dxa"/>
            <w:vMerge w:val="restart"/>
            <w:vAlign w:val="center"/>
          </w:tcPr>
          <w:p>
            <w:pPr>
              <w:widowControl/>
              <w:jc w:val="center"/>
              <w:rPr>
                <w:rFonts w:cs="Times New Roman"/>
                <w:b/>
                <w:bCs/>
                <w:sz w:val="20"/>
                <w:szCs w:val="20"/>
              </w:rPr>
            </w:pPr>
            <w:r>
              <w:rPr>
                <w:rFonts w:hint="eastAsia" w:cs="Times New Roman"/>
                <w:b/>
                <w:bCs/>
                <w:sz w:val="20"/>
                <w:szCs w:val="20"/>
              </w:rPr>
              <w:t>序号</w:t>
            </w:r>
          </w:p>
        </w:tc>
        <w:tc>
          <w:tcPr>
            <w:tcW w:w="819" w:type="dxa"/>
            <w:vMerge w:val="restart"/>
            <w:vAlign w:val="center"/>
          </w:tcPr>
          <w:p>
            <w:pPr>
              <w:widowControl/>
              <w:jc w:val="center"/>
              <w:rPr>
                <w:rFonts w:cs="Times New Roman"/>
                <w:b/>
                <w:bCs/>
                <w:sz w:val="20"/>
                <w:szCs w:val="20"/>
              </w:rPr>
            </w:pPr>
            <w:r>
              <w:rPr>
                <w:rFonts w:hint="eastAsia" w:cs="Times New Roman"/>
                <w:b/>
                <w:bCs/>
                <w:sz w:val="20"/>
                <w:szCs w:val="20"/>
              </w:rPr>
              <w:t>申报人</w:t>
            </w:r>
          </w:p>
        </w:tc>
        <w:tc>
          <w:tcPr>
            <w:tcW w:w="2016" w:type="dxa"/>
            <w:vMerge w:val="restart"/>
            <w:vAlign w:val="center"/>
          </w:tcPr>
          <w:p>
            <w:pPr>
              <w:widowControl/>
              <w:jc w:val="center"/>
              <w:rPr>
                <w:rFonts w:cs="Times New Roman"/>
                <w:b/>
                <w:bCs/>
                <w:sz w:val="20"/>
                <w:szCs w:val="20"/>
              </w:rPr>
            </w:pPr>
            <w:r>
              <w:rPr>
                <w:rFonts w:hint="eastAsia" w:cs="Times New Roman"/>
                <w:b/>
                <w:bCs/>
                <w:sz w:val="20"/>
                <w:szCs w:val="20"/>
              </w:rPr>
              <w:t>申报单位</w:t>
            </w:r>
          </w:p>
        </w:tc>
        <w:tc>
          <w:tcPr>
            <w:tcW w:w="5845" w:type="dxa"/>
            <w:vMerge w:val="restart"/>
            <w:vAlign w:val="center"/>
          </w:tcPr>
          <w:p>
            <w:pPr>
              <w:widowControl/>
              <w:jc w:val="center"/>
              <w:rPr>
                <w:rFonts w:cs="Times New Roman"/>
                <w:b/>
                <w:bCs/>
                <w:sz w:val="20"/>
                <w:szCs w:val="20"/>
              </w:rPr>
            </w:pPr>
            <w:r>
              <w:rPr>
                <w:rFonts w:hint="eastAsia" w:cs="Times New Roman"/>
                <w:b/>
                <w:bCs/>
                <w:sz w:val="20"/>
                <w:szCs w:val="20"/>
              </w:rPr>
              <w:t>项目名称</w:t>
            </w:r>
          </w:p>
        </w:tc>
        <w:tc>
          <w:tcPr>
            <w:tcW w:w="630" w:type="dxa"/>
            <w:vMerge w:val="restart"/>
            <w:vAlign w:val="center"/>
          </w:tcPr>
          <w:p>
            <w:pPr>
              <w:widowControl/>
              <w:jc w:val="center"/>
              <w:rPr>
                <w:rFonts w:cs="Times New Roman"/>
                <w:b/>
                <w:bCs/>
                <w:sz w:val="20"/>
                <w:szCs w:val="20"/>
              </w:rPr>
            </w:pPr>
            <w:r>
              <w:rPr>
                <w:rFonts w:hint="eastAsia" w:cs="Times New Roman"/>
                <w:b/>
                <w:bCs/>
                <w:sz w:val="20"/>
                <w:szCs w:val="20"/>
              </w:rPr>
              <w:t>项目类别</w:t>
            </w:r>
          </w:p>
        </w:tc>
        <w:tc>
          <w:tcPr>
            <w:tcW w:w="900" w:type="dxa"/>
            <w:vMerge w:val="restart"/>
            <w:vAlign w:val="center"/>
          </w:tcPr>
          <w:p>
            <w:pPr>
              <w:widowControl/>
              <w:jc w:val="center"/>
              <w:rPr>
                <w:rFonts w:cs="Times New Roman"/>
                <w:b/>
                <w:bCs/>
                <w:sz w:val="20"/>
                <w:szCs w:val="20"/>
              </w:rPr>
            </w:pPr>
            <w:r>
              <w:rPr>
                <w:rFonts w:hint="eastAsia" w:cs="Times New Roman"/>
                <w:b/>
                <w:bCs/>
                <w:sz w:val="20"/>
                <w:szCs w:val="20"/>
              </w:rPr>
              <w:t>研究年限（年）</w:t>
            </w:r>
          </w:p>
        </w:tc>
        <w:tc>
          <w:tcPr>
            <w:tcW w:w="710" w:type="dxa"/>
            <w:vMerge w:val="restart"/>
            <w:vAlign w:val="center"/>
          </w:tcPr>
          <w:p>
            <w:pPr>
              <w:widowControl/>
              <w:jc w:val="center"/>
              <w:rPr>
                <w:rFonts w:cs="Times New Roman"/>
                <w:b/>
                <w:bCs/>
                <w:sz w:val="20"/>
                <w:szCs w:val="20"/>
              </w:rPr>
            </w:pPr>
            <w:r>
              <w:rPr>
                <w:rFonts w:hint="eastAsia" w:cs="Times New Roman"/>
                <w:b/>
                <w:bCs/>
                <w:sz w:val="20"/>
                <w:szCs w:val="20"/>
              </w:rPr>
              <w:t>立项</w:t>
            </w:r>
          </w:p>
          <w:p>
            <w:pPr>
              <w:widowControl/>
              <w:jc w:val="center"/>
              <w:rPr>
                <w:rFonts w:cs="Times New Roman"/>
                <w:b/>
                <w:bCs/>
                <w:sz w:val="20"/>
                <w:szCs w:val="20"/>
              </w:rPr>
            </w:pPr>
            <w:r>
              <w:rPr>
                <w:rFonts w:hint="eastAsia" w:cs="Times New Roman"/>
                <w:b/>
                <w:bCs/>
                <w:sz w:val="20"/>
                <w:szCs w:val="20"/>
              </w:rPr>
              <w:t>年度</w:t>
            </w:r>
          </w:p>
        </w:tc>
        <w:tc>
          <w:tcPr>
            <w:tcW w:w="1017" w:type="dxa"/>
            <w:vMerge w:val="restart"/>
            <w:vAlign w:val="center"/>
          </w:tcPr>
          <w:p>
            <w:pPr>
              <w:jc w:val="center"/>
              <w:rPr>
                <w:rFonts w:cs="Times New Roman"/>
                <w:b/>
                <w:bCs/>
                <w:sz w:val="20"/>
                <w:szCs w:val="20"/>
              </w:rPr>
            </w:pPr>
            <w:r>
              <w:rPr>
                <w:rFonts w:hint="eastAsia" w:cs="Times New Roman"/>
                <w:b/>
                <w:bCs/>
                <w:sz w:val="20"/>
                <w:szCs w:val="20"/>
              </w:rPr>
              <w:t>备</w:t>
            </w:r>
            <w:r>
              <w:rPr>
                <w:rFonts w:cs="Times New Roman"/>
                <w:b/>
                <w:bCs/>
                <w:sz w:val="20"/>
                <w:szCs w:val="20"/>
              </w:rPr>
              <w:t xml:space="preserve">  </w:t>
            </w:r>
            <w:r>
              <w:rPr>
                <w:rFonts w:hint="eastAsia" w:cs="Times New Roman"/>
                <w:b/>
                <w:bCs/>
                <w:sz w:val="20"/>
                <w:szCs w:val="2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18" w:type="dxa"/>
            <w:vMerge w:val="continue"/>
            <w:vAlign w:val="center"/>
          </w:tcPr>
          <w:p>
            <w:pPr>
              <w:widowControl/>
              <w:jc w:val="center"/>
              <w:rPr>
                <w:rFonts w:cs="Times New Roman"/>
                <w:b/>
                <w:bCs/>
                <w:sz w:val="20"/>
                <w:szCs w:val="20"/>
              </w:rPr>
            </w:pPr>
          </w:p>
        </w:tc>
        <w:tc>
          <w:tcPr>
            <w:tcW w:w="819" w:type="dxa"/>
            <w:vMerge w:val="continue"/>
            <w:vAlign w:val="center"/>
          </w:tcPr>
          <w:p>
            <w:pPr>
              <w:widowControl/>
              <w:jc w:val="center"/>
              <w:rPr>
                <w:rFonts w:cs="Times New Roman"/>
                <w:b/>
                <w:bCs/>
                <w:sz w:val="20"/>
                <w:szCs w:val="20"/>
              </w:rPr>
            </w:pPr>
          </w:p>
        </w:tc>
        <w:tc>
          <w:tcPr>
            <w:tcW w:w="2016" w:type="dxa"/>
            <w:vMerge w:val="continue"/>
            <w:vAlign w:val="center"/>
          </w:tcPr>
          <w:p>
            <w:pPr>
              <w:widowControl/>
              <w:jc w:val="center"/>
              <w:rPr>
                <w:rFonts w:cs="Times New Roman"/>
                <w:b/>
                <w:bCs/>
                <w:sz w:val="20"/>
                <w:szCs w:val="20"/>
              </w:rPr>
            </w:pPr>
          </w:p>
        </w:tc>
        <w:tc>
          <w:tcPr>
            <w:tcW w:w="5845" w:type="dxa"/>
            <w:vMerge w:val="continue"/>
            <w:vAlign w:val="center"/>
          </w:tcPr>
          <w:p>
            <w:pPr>
              <w:widowControl/>
              <w:jc w:val="center"/>
              <w:rPr>
                <w:rFonts w:cs="Times New Roman"/>
                <w:b/>
                <w:bCs/>
                <w:sz w:val="20"/>
                <w:szCs w:val="20"/>
              </w:rPr>
            </w:pPr>
          </w:p>
        </w:tc>
        <w:tc>
          <w:tcPr>
            <w:tcW w:w="630" w:type="dxa"/>
            <w:vMerge w:val="continue"/>
            <w:vAlign w:val="center"/>
          </w:tcPr>
          <w:p>
            <w:pPr>
              <w:widowControl/>
              <w:jc w:val="center"/>
              <w:rPr>
                <w:rFonts w:cs="Times New Roman"/>
                <w:b/>
                <w:bCs/>
                <w:sz w:val="20"/>
                <w:szCs w:val="20"/>
              </w:rPr>
            </w:pPr>
          </w:p>
        </w:tc>
        <w:tc>
          <w:tcPr>
            <w:tcW w:w="900" w:type="dxa"/>
            <w:vMerge w:val="continue"/>
            <w:vAlign w:val="center"/>
          </w:tcPr>
          <w:p>
            <w:pPr>
              <w:widowControl/>
              <w:jc w:val="center"/>
              <w:rPr>
                <w:rFonts w:cs="Times New Roman"/>
                <w:b/>
                <w:bCs/>
                <w:sz w:val="20"/>
                <w:szCs w:val="20"/>
              </w:rPr>
            </w:pPr>
          </w:p>
        </w:tc>
        <w:tc>
          <w:tcPr>
            <w:tcW w:w="710" w:type="dxa"/>
            <w:vMerge w:val="continue"/>
            <w:vAlign w:val="center"/>
          </w:tcPr>
          <w:p>
            <w:pPr>
              <w:widowControl/>
              <w:jc w:val="center"/>
              <w:rPr>
                <w:rFonts w:cs="Times New Roman"/>
                <w:b/>
                <w:bCs/>
                <w:sz w:val="20"/>
                <w:szCs w:val="20"/>
              </w:rPr>
            </w:pPr>
          </w:p>
        </w:tc>
        <w:tc>
          <w:tcPr>
            <w:tcW w:w="1017" w:type="dxa"/>
            <w:vMerge w:val="continue"/>
            <w:vAlign w:val="center"/>
          </w:tcPr>
          <w:p>
            <w:pPr>
              <w:widowControl/>
              <w:jc w:val="center"/>
              <w:rPr>
                <w:rFonts w:cs="Times New Roman"/>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18"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1</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张</w:t>
            </w:r>
            <w:r>
              <w:rPr>
                <w:rFonts w:ascii="宋体" w:hAnsi="宋体" w:cs="Times New Roman"/>
                <w:color w:val="000000"/>
                <w:kern w:val="0"/>
                <w:sz w:val="18"/>
                <w:szCs w:val="18"/>
                <w:lang w:bidi="ar-SA"/>
              </w:rPr>
              <w:t xml:space="preserve">  </w:t>
            </w:r>
            <w:r>
              <w:rPr>
                <w:rFonts w:hint="eastAsia" w:ascii="宋体" w:hAnsi="宋体" w:cs="Times New Roman"/>
                <w:color w:val="000000"/>
                <w:kern w:val="0"/>
                <w:sz w:val="18"/>
                <w:szCs w:val="18"/>
                <w:lang w:bidi="ar-SA"/>
              </w:rPr>
              <w:t>炼</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外国语学院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贵州大学《大学英语》生态教学模式构建研究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重点</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3</w:t>
            </w:r>
          </w:p>
        </w:tc>
        <w:tc>
          <w:tcPr>
            <w:tcW w:w="710" w:type="dxa"/>
            <w:vAlign w:val="center"/>
          </w:tcPr>
          <w:p>
            <w:pPr>
              <w:jc w:val="center"/>
              <w:rPr>
                <w:rFonts w:ascii="宋体" w:cs="Times New Roman"/>
                <w:color w:val="000000"/>
                <w:sz w:val="18"/>
                <w:szCs w:val="18"/>
              </w:rPr>
            </w:pPr>
            <w:r>
              <w:rPr>
                <w:rFonts w:ascii="宋体" w:hAnsi="宋体" w:cs="Times New Roman"/>
                <w:color w:val="000000"/>
                <w:sz w:val="18"/>
                <w:szCs w:val="18"/>
              </w:rPr>
              <w:t>2014</w:t>
            </w:r>
          </w:p>
        </w:tc>
        <w:tc>
          <w:tcPr>
            <w:tcW w:w="1017" w:type="dxa"/>
            <w:vAlign w:val="center"/>
          </w:tcPr>
          <w:p>
            <w:pPr>
              <w:widowControl/>
              <w:jc w:val="center"/>
              <w:rPr>
                <w:rFonts w:hint="eastAsia" w:ascii="宋体" w:cs="Times New Roman" w:eastAsiaTheme="minorEastAsia"/>
                <w:color w:val="000000"/>
                <w:kern w:val="0"/>
                <w:sz w:val="18"/>
                <w:szCs w:val="18"/>
                <w:lang w:eastAsia="zh-CN" w:bidi="ar-SA"/>
              </w:rPr>
            </w:pPr>
            <w:r>
              <w:rPr>
                <w:rFonts w:hint="eastAsia" w:ascii="宋体" w:cs="Times New Roman"/>
                <w:color w:val="000000"/>
                <w:kern w:val="0"/>
                <w:sz w:val="18"/>
                <w:szCs w:val="18"/>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18"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蒋岚翔</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数学与统计学院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贵州大学数学公共课程教学方法改革研究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重点</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3</w:t>
            </w:r>
          </w:p>
        </w:tc>
        <w:tc>
          <w:tcPr>
            <w:tcW w:w="710" w:type="dxa"/>
            <w:vAlign w:val="center"/>
          </w:tcPr>
          <w:p>
            <w:pPr>
              <w:jc w:val="center"/>
              <w:rPr>
                <w:rFonts w:ascii="宋体"/>
                <w:sz w:val="18"/>
                <w:szCs w:val="18"/>
              </w:rPr>
            </w:pPr>
            <w:r>
              <w:rPr>
                <w:rFonts w:ascii="宋体" w:hAnsi="宋体" w:cs="Times New Roman"/>
                <w:color w:val="000000"/>
                <w:sz w:val="18"/>
                <w:szCs w:val="18"/>
              </w:rPr>
              <w:t>2014</w:t>
            </w:r>
          </w:p>
        </w:tc>
        <w:tc>
          <w:tcPr>
            <w:tcW w:w="1017" w:type="dxa"/>
            <w:vAlign w:val="center"/>
          </w:tcPr>
          <w:p>
            <w:pPr>
              <w:widowControl/>
              <w:jc w:val="center"/>
              <w:rPr>
                <w:rFonts w:ascii="宋体" w:cs="Times New Roman"/>
                <w:color w:val="000000"/>
                <w:kern w:val="0"/>
                <w:sz w:val="18"/>
                <w:szCs w:val="18"/>
                <w:lang w:bidi="ar-SA"/>
              </w:rPr>
            </w:pPr>
            <w:r>
              <w:rPr>
                <w:rFonts w:hint="eastAsia" w:ascii="宋体" w:cs="Times New Roman"/>
                <w:color w:val="000000"/>
                <w:kern w:val="0"/>
                <w:sz w:val="18"/>
                <w:szCs w:val="18"/>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3</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闫岩</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酿酒与食品工程学院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基于</w:t>
            </w:r>
            <w:r>
              <w:rPr>
                <w:rFonts w:ascii="宋体" w:hAnsi="宋体" w:cs="Times New Roman"/>
                <w:color w:val="000000"/>
                <w:kern w:val="0"/>
                <w:sz w:val="18"/>
                <w:szCs w:val="18"/>
                <w:lang w:bidi="ar-SA"/>
              </w:rPr>
              <w:t>CDIO</w:t>
            </w:r>
            <w:r>
              <w:rPr>
                <w:rFonts w:hint="eastAsia" w:ascii="宋体" w:hAnsi="宋体" w:cs="Times New Roman"/>
                <w:color w:val="000000"/>
                <w:kern w:val="0"/>
                <w:sz w:val="18"/>
                <w:szCs w:val="18"/>
                <w:lang w:bidi="ar-SA"/>
              </w:rPr>
              <w:t>理念的食品分析课程体系构建</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2015</w:t>
            </w:r>
          </w:p>
        </w:tc>
        <w:tc>
          <w:tcPr>
            <w:tcW w:w="1017" w:type="dxa"/>
            <w:vAlign w:val="center"/>
          </w:tcPr>
          <w:p>
            <w:pPr>
              <w:widowControl/>
              <w:jc w:val="center"/>
              <w:rPr>
                <w:rFonts w:ascii="宋体" w:cs="Times New Roman"/>
                <w:color w:val="000000"/>
                <w:kern w:val="0"/>
                <w:sz w:val="18"/>
                <w:szCs w:val="18"/>
                <w:lang w:bidi="ar-SA"/>
              </w:rPr>
            </w:pPr>
            <w:r>
              <w:rPr>
                <w:rFonts w:hint="eastAsia" w:ascii="宋体" w:cs="Times New Roman"/>
                <w:color w:val="000000"/>
                <w:kern w:val="0"/>
                <w:sz w:val="18"/>
                <w:szCs w:val="18"/>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618"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4</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刘凤霞</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阳明学院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通识教育视域下文学经典课程体系构建研究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top"/>
          </w:tcPr>
          <w:p>
            <w:pPr>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2015</w:t>
            </w:r>
          </w:p>
        </w:tc>
        <w:tc>
          <w:tcPr>
            <w:tcW w:w="1017" w:type="dxa"/>
            <w:vAlign w:val="center"/>
          </w:tcPr>
          <w:p>
            <w:pPr>
              <w:widowControl/>
              <w:jc w:val="center"/>
              <w:rPr>
                <w:rFonts w:ascii="宋体" w:cs="Times New Roman"/>
                <w:color w:val="000000"/>
                <w:kern w:val="0"/>
                <w:sz w:val="18"/>
                <w:szCs w:val="18"/>
                <w:lang w:bidi="ar-SA"/>
              </w:rPr>
            </w:pPr>
            <w:r>
              <w:rPr>
                <w:rFonts w:hint="eastAsia" w:ascii="宋体" w:cs="Times New Roman"/>
                <w:color w:val="000000"/>
                <w:kern w:val="0"/>
                <w:sz w:val="18"/>
                <w:szCs w:val="18"/>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18" w:type="dxa"/>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5</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马丹</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计算机科学与技术学院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慕课在西部高校的应用情况分析与研究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top"/>
          </w:tcPr>
          <w:p>
            <w:pPr>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2015</w:t>
            </w:r>
          </w:p>
        </w:tc>
        <w:tc>
          <w:tcPr>
            <w:tcW w:w="1017" w:type="dxa"/>
            <w:vAlign w:val="center"/>
          </w:tcPr>
          <w:p>
            <w:pPr>
              <w:widowControl/>
              <w:jc w:val="center"/>
            </w:pPr>
            <w:r>
              <w:rPr>
                <w:rFonts w:hint="eastAsia" w:ascii="宋体" w:cs="Times New Roman"/>
                <w:color w:val="000000"/>
                <w:kern w:val="0"/>
                <w:sz w:val="18"/>
                <w:szCs w:val="18"/>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6</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赵小青</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心里健康教育咨询中心</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贵州省大学生心理健康教育课程教育课程教学改革研究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top"/>
          </w:tcPr>
          <w:p>
            <w:pPr>
              <w:jc w:val="center"/>
            </w:pPr>
            <w:r>
              <w:rPr>
                <w:rFonts w:ascii="宋体" w:hAnsi="宋体" w:cs="Times New Roman"/>
                <w:color w:val="000000"/>
                <w:kern w:val="0"/>
                <w:sz w:val="18"/>
                <w:szCs w:val="18"/>
                <w:lang w:bidi="ar-SA"/>
              </w:rPr>
              <w:t>2015</w:t>
            </w:r>
          </w:p>
        </w:tc>
        <w:tc>
          <w:tcPr>
            <w:tcW w:w="1017" w:type="dxa"/>
            <w:vAlign w:val="center"/>
          </w:tcPr>
          <w:p>
            <w:pPr>
              <w:widowControl/>
              <w:jc w:val="center"/>
              <w:rPr>
                <w:rFonts w:ascii="宋体" w:cs="Times New Roman"/>
                <w:color w:val="000000"/>
                <w:kern w:val="0"/>
                <w:sz w:val="18"/>
                <w:szCs w:val="18"/>
                <w:lang w:bidi="ar-SA"/>
              </w:rPr>
            </w:pPr>
            <w:r>
              <w:rPr>
                <w:rFonts w:hint="eastAsia" w:ascii="宋体" w:cs="Times New Roman"/>
                <w:color w:val="000000"/>
                <w:kern w:val="0"/>
                <w:sz w:val="18"/>
                <w:szCs w:val="18"/>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18" w:type="dxa"/>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7</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方英敏</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人文学院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中华文化传承与《美学概论》课程建设</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top"/>
          </w:tcPr>
          <w:p>
            <w:pPr>
              <w:jc w:val="center"/>
            </w:pPr>
            <w:r>
              <w:rPr>
                <w:rFonts w:ascii="宋体" w:hAnsi="宋体" w:cs="Times New Roman"/>
                <w:color w:val="000000"/>
                <w:kern w:val="0"/>
                <w:sz w:val="18"/>
                <w:szCs w:val="18"/>
                <w:lang w:bidi="ar-SA"/>
              </w:rPr>
              <w:t>2015</w:t>
            </w:r>
          </w:p>
        </w:tc>
        <w:tc>
          <w:tcPr>
            <w:tcW w:w="1017" w:type="dxa"/>
            <w:vAlign w:val="center"/>
          </w:tcPr>
          <w:p>
            <w:pPr>
              <w:widowControl/>
              <w:jc w:val="center"/>
            </w:pPr>
            <w:r>
              <w:rPr>
                <w:rFonts w:hint="eastAsia" w:ascii="宋体" w:cs="Times New Roman"/>
                <w:color w:val="000000"/>
                <w:kern w:val="0"/>
                <w:sz w:val="18"/>
                <w:szCs w:val="18"/>
                <w:lang w:val="en-US" w:eastAsia="zh-CN" w:bidi="ar-SA"/>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8</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陈颖</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管理学院</w:t>
            </w:r>
            <w:bookmarkStart w:id="0" w:name="_GoBack"/>
            <w:bookmarkEnd w:id="0"/>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基于应用型本科人才培养的多维教学模式实践与探索</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重点</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3</w:t>
            </w:r>
          </w:p>
        </w:tc>
        <w:tc>
          <w:tcPr>
            <w:tcW w:w="710" w:type="dxa"/>
            <w:vAlign w:val="top"/>
          </w:tcPr>
          <w:p>
            <w:pPr>
              <w:jc w:val="center"/>
            </w:pPr>
            <w:r>
              <w:rPr>
                <w:rFonts w:ascii="宋体" w:hAnsi="宋体" w:cs="Times New Roman"/>
                <w:color w:val="000000"/>
                <w:kern w:val="0"/>
                <w:sz w:val="18"/>
                <w:szCs w:val="18"/>
                <w:lang w:bidi="ar-SA"/>
              </w:rPr>
              <w:t>2015</w:t>
            </w:r>
          </w:p>
        </w:tc>
        <w:tc>
          <w:tcPr>
            <w:tcW w:w="1017" w:type="dxa"/>
            <w:vAlign w:val="center"/>
          </w:tcPr>
          <w:p>
            <w:pPr>
              <w:widowControl/>
              <w:jc w:val="center"/>
              <w:rPr>
                <w:rFonts w:ascii="宋体" w:cs="Times New Roman"/>
                <w:color w:val="000000"/>
                <w:kern w:val="0"/>
                <w:sz w:val="18"/>
                <w:szCs w:val="18"/>
                <w:lang w:bidi="ar-SA"/>
              </w:rPr>
            </w:pPr>
            <w:r>
              <w:rPr>
                <w:rFonts w:hint="eastAsia" w:ascii="宋体" w:cs="Times New Roman"/>
                <w:color w:val="000000"/>
                <w:kern w:val="0"/>
                <w:sz w:val="18"/>
                <w:szCs w:val="18"/>
                <w:lang w:val="en-US" w:eastAsia="zh-CN" w:bidi="ar-SA"/>
              </w:rPr>
              <w:t>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9</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乙天慈</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农学院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通识教育背景下新增专业方向</w:t>
            </w:r>
            <w:r>
              <w:rPr>
                <w:rFonts w:ascii="宋体" w:cs="Times New Roman"/>
                <w:color w:val="000000"/>
                <w:kern w:val="0"/>
                <w:sz w:val="18"/>
                <w:szCs w:val="18"/>
                <w:lang w:bidi="ar-SA"/>
              </w:rPr>
              <w:t>---</w:t>
            </w:r>
            <w:r>
              <w:rPr>
                <w:rFonts w:hint="eastAsia" w:ascii="宋体" w:hAnsi="宋体" w:cs="Times New Roman"/>
                <w:color w:val="000000"/>
                <w:kern w:val="0"/>
                <w:sz w:val="18"/>
                <w:szCs w:val="18"/>
                <w:lang w:bidi="ar-SA"/>
              </w:rPr>
              <w:t>生物入侵与植物安全课程体系构建与优化</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重点</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3</w:t>
            </w:r>
          </w:p>
        </w:tc>
        <w:tc>
          <w:tcPr>
            <w:tcW w:w="710" w:type="dxa"/>
            <w:vAlign w:val="top"/>
          </w:tcPr>
          <w:p>
            <w:pPr>
              <w:jc w:val="center"/>
            </w:pPr>
            <w:r>
              <w:rPr>
                <w:rFonts w:ascii="宋体" w:hAnsi="宋体" w:cs="Times New Roman"/>
                <w:color w:val="000000"/>
                <w:kern w:val="0"/>
                <w:sz w:val="18"/>
                <w:szCs w:val="18"/>
                <w:lang w:bidi="ar-SA"/>
              </w:rPr>
              <w:t>2015</w:t>
            </w:r>
          </w:p>
        </w:tc>
        <w:tc>
          <w:tcPr>
            <w:tcW w:w="1017" w:type="dxa"/>
            <w:vAlign w:val="center"/>
          </w:tcPr>
          <w:p>
            <w:pPr>
              <w:widowControl/>
              <w:jc w:val="center"/>
              <w:rPr>
                <w:rFonts w:hint="eastAsia" w:ascii="宋体" w:cs="Times New Roman" w:eastAsiaTheme="minorEastAsia"/>
                <w:b/>
                <w:bCs/>
                <w:color w:val="000000"/>
                <w:kern w:val="0"/>
                <w:sz w:val="18"/>
                <w:szCs w:val="18"/>
                <w:lang w:val="en-US" w:eastAsia="zh-CN" w:bidi="ar-SA"/>
              </w:rPr>
            </w:pPr>
            <w:r>
              <w:rPr>
                <w:rFonts w:hint="eastAsia" w:ascii="宋体" w:cs="Times New Roman"/>
                <w:color w:val="000000"/>
                <w:kern w:val="0"/>
                <w:sz w:val="18"/>
                <w:szCs w:val="18"/>
                <w:lang w:val="en-US" w:eastAsia="zh-CN" w:bidi="ar-SA"/>
              </w:rPr>
              <w:t>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10</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王琬</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化学与化工学院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基于工程教育认证模式下的贵州大学过控专业人才培养模式改革研究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重点</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3</w:t>
            </w:r>
          </w:p>
        </w:tc>
        <w:tc>
          <w:tcPr>
            <w:tcW w:w="710" w:type="dxa"/>
            <w:vAlign w:val="center"/>
          </w:tcPr>
          <w:p>
            <w:pPr>
              <w:jc w:val="center"/>
            </w:pPr>
            <w:r>
              <w:rPr>
                <w:rFonts w:ascii="宋体" w:hAnsi="宋体" w:cs="Times New Roman"/>
                <w:color w:val="000000"/>
                <w:kern w:val="0"/>
                <w:sz w:val="18"/>
                <w:szCs w:val="18"/>
                <w:lang w:bidi="ar-SA"/>
              </w:rPr>
              <w:t>2015</w:t>
            </w:r>
          </w:p>
        </w:tc>
        <w:tc>
          <w:tcPr>
            <w:tcW w:w="1017" w:type="dxa"/>
            <w:vAlign w:val="center"/>
          </w:tcPr>
          <w:p>
            <w:pPr>
              <w:widowControl/>
              <w:jc w:val="center"/>
            </w:pPr>
            <w:r>
              <w:rPr>
                <w:rFonts w:hint="eastAsia" w:ascii="宋体" w:cs="Times New Roman"/>
                <w:color w:val="000000"/>
                <w:kern w:val="0"/>
                <w:sz w:val="18"/>
                <w:szCs w:val="18"/>
                <w:lang w:val="en-US" w:eastAsia="zh-CN" w:bidi="ar-SA"/>
              </w:rPr>
              <w:t>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11</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章</w:t>
            </w:r>
            <w:r>
              <w:rPr>
                <w:rFonts w:ascii="宋体" w:hAnsi="宋体" w:cs="Times New Roman"/>
                <w:color w:val="000000"/>
                <w:kern w:val="0"/>
                <w:sz w:val="18"/>
                <w:szCs w:val="18"/>
                <w:lang w:bidi="ar-SA"/>
              </w:rPr>
              <w:t xml:space="preserve">  </w:t>
            </w:r>
            <w:r>
              <w:rPr>
                <w:rFonts w:hint="eastAsia" w:ascii="宋体" w:hAnsi="宋体" w:cs="Times New Roman"/>
                <w:color w:val="000000"/>
                <w:kern w:val="0"/>
                <w:sz w:val="18"/>
                <w:szCs w:val="18"/>
                <w:lang w:bidi="ar-SA"/>
              </w:rPr>
              <w:t>杰</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计算机科学与技术学院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基于大数据应用的计算机公共课程教学效果分析研究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重点</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3</w:t>
            </w:r>
          </w:p>
        </w:tc>
        <w:tc>
          <w:tcPr>
            <w:tcW w:w="710" w:type="dxa"/>
            <w:vAlign w:val="top"/>
          </w:tcPr>
          <w:p>
            <w:pPr>
              <w:jc w:val="center"/>
            </w:pPr>
            <w:r>
              <w:rPr>
                <w:rFonts w:ascii="宋体" w:cs="Times New Roman"/>
                <w:sz w:val="18"/>
                <w:szCs w:val="18"/>
              </w:rPr>
              <w:t>2016</w:t>
            </w:r>
          </w:p>
        </w:tc>
        <w:tc>
          <w:tcPr>
            <w:tcW w:w="1017" w:type="dxa"/>
            <w:vAlign w:val="center"/>
          </w:tcPr>
          <w:p>
            <w:pPr>
              <w:widowControl/>
              <w:jc w:val="center"/>
              <w:rPr>
                <w:rFonts w:ascii="宋体" w:cs="Times New Roman"/>
                <w:b/>
                <w:bCs/>
                <w:color w:val="000000"/>
                <w:kern w:val="0"/>
                <w:sz w:val="18"/>
                <w:szCs w:val="18"/>
                <w:lang w:bidi="ar-SA"/>
              </w:rPr>
            </w:pPr>
            <w:r>
              <w:rPr>
                <w:rFonts w:hint="eastAsia" w:ascii="宋体" w:cs="Times New Roman"/>
                <w:color w:val="000000"/>
                <w:kern w:val="0"/>
                <w:sz w:val="18"/>
                <w:szCs w:val="18"/>
                <w:lang w:val="en-US" w:eastAsia="zh-CN" w:bidi="ar-SA"/>
              </w:rPr>
              <w:t>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hint="eastAsia" w:ascii="宋体" w:hAnsi="宋体" w:cs="Times New Roman" w:eastAsiaTheme="minorEastAsia"/>
                <w:color w:val="000000"/>
                <w:kern w:val="0"/>
                <w:sz w:val="18"/>
                <w:szCs w:val="18"/>
                <w:lang w:val="en-US" w:eastAsia="zh-CN" w:bidi="ar-SA"/>
              </w:rPr>
            </w:pPr>
            <w:r>
              <w:rPr>
                <w:rFonts w:hint="eastAsia" w:ascii="宋体" w:hAnsi="宋体" w:cs="Times New Roman"/>
                <w:color w:val="000000"/>
                <w:kern w:val="0"/>
                <w:sz w:val="18"/>
                <w:szCs w:val="18"/>
                <w:lang w:val="en-US" w:eastAsia="zh-CN" w:bidi="ar-SA"/>
              </w:rPr>
              <w:t>12</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沈</w:t>
            </w:r>
            <w:r>
              <w:rPr>
                <w:rFonts w:ascii="宋体" w:hAnsi="宋体" w:cs="Times New Roman"/>
                <w:color w:val="000000"/>
                <w:kern w:val="0"/>
                <w:sz w:val="18"/>
                <w:szCs w:val="18"/>
                <w:lang w:bidi="ar-SA"/>
              </w:rPr>
              <w:t xml:space="preserve">  </w:t>
            </w:r>
            <w:r>
              <w:rPr>
                <w:rFonts w:hint="eastAsia" w:ascii="宋体" w:hAnsi="宋体" w:cs="Times New Roman"/>
                <w:color w:val="000000"/>
                <w:kern w:val="0"/>
                <w:sz w:val="18"/>
                <w:szCs w:val="18"/>
                <w:lang w:bidi="ar-SA"/>
              </w:rPr>
              <w:t>麟</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外国语学院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“互联网</w:t>
            </w:r>
            <w:r>
              <w:rPr>
                <w:rFonts w:ascii="宋体" w:hAnsi="宋体" w:cs="Times New Roman"/>
                <w:color w:val="000000"/>
                <w:kern w:val="0"/>
                <w:sz w:val="18"/>
                <w:szCs w:val="18"/>
                <w:lang w:bidi="ar-SA"/>
              </w:rPr>
              <w:t>+</w:t>
            </w:r>
            <w:r>
              <w:rPr>
                <w:rFonts w:hint="eastAsia" w:ascii="宋体" w:hAnsi="宋体" w:cs="Times New Roman"/>
                <w:color w:val="000000"/>
                <w:kern w:val="0"/>
                <w:sz w:val="18"/>
                <w:szCs w:val="18"/>
                <w:lang w:bidi="ar-SA"/>
              </w:rPr>
              <w:t>”视域下高校公共英语数字微课程建设</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重点</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top"/>
          </w:tcPr>
          <w:p>
            <w:pPr>
              <w:jc w:val="center"/>
            </w:pPr>
            <w:r>
              <w:rPr>
                <w:rFonts w:ascii="宋体" w:cs="Times New Roman"/>
                <w:sz w:val="18"/>
                <w:szCs w:val="18"/>
              </w:rPr>
              <w:t>2016</w:t>
            </w:r>
          </w:p>
        </w:tc>
        <w:tc>
          <w:tcPr>
            <w:tcW w:w="1017" w:type="dxa"/>
            <w:vAlign w:val="center"/>
          </w:tcPr>
          <w:p>
            <w:pPr>
              <w:widowControl/>
              <w:jc w:val="center"/>
              <w:rPr>
                <w:rFonts w:ascii="宋体" w:cs="Times New Roman"/>
                <w:b/>
                <w:bCs/>
                <w:color w:val="000000"/>
                <w:kern w:val="0"/>
                <w:sz w:val="18"/>
                <w:szCs w:val="18"/>
                <w:lang w:bidi="ar-SA"/>
              </w:rPr>
            </w:pPr>
            <w:r>
              <w:rPr>
                <w:rFonts w:hint="eastAsia" w:ascii="宋体" w:cs="Times New Roman"/>
                <w:color w:val="000000"/>
                <w:kern w:val="0"/>
                <w:sz w:val="18"/>
                <w:szCs w:val="18"/>
                <w:lang w:val="en-US" w:eastAsia="zh-CN" w:bidi="ar-SA"/>
              </w:rPr>
              <w:t>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hint="eastAsia" w:ascii="宋体" w:hAnsi="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13</w:t>
            </w:r>
          </w:p>
        </w:tc>
        <w:tc>
          <w:tcPr>
            <w:tcW w:w="819" w:type="dxa"/>
            <w:vAlign w:val="center"/>
          </w:tcPr>
          <w:p>
            <w:pPr>
              <w:widowControl/>
              <w:jc w:val="center"/>
              <w:rPr>
                <w:rFonts w:hint="eastAsia" w:ascii="宋体" w:hAnsi="宋体" w:cs="Times New Roman"/>
                <w:color w:val="000000"/>
                <w:kern w:val="0"/>
                <w:sz w:val="18"/>
                <w:szCs w:val="18"/>
                <w:lang w:bidi="ar-SA"/>
              </w:rPr>
            </w:pPr>
            <w:r>
              <w:rPr>
                <w:rFonts w:hint="eastAsia" w:ascii="宋体" w:hAnsi="宋体" w:cs="Times New Roman"/>
                <w:color w:val="000000"/>
                <w:kern w:val="0"/>
                <w:sz w:val="18"/>
                <w:szCs w:val="18"/>
                <w:lang w:bidi="ar-SA"/>
              </w:rPr>
              <w:t>朱小明</w:t>
            </w:r>
          </w:p>
        </w:tc>
        <w:tc>
          <w:tcPr>
            <w:tcW w:w="2016" w:type="dxa"/>
            <w:vAlign w:val="center"/>
          </w:tcPr>
          <w:p>
            <w:pPr>
              <w:widowControl/>
              <w:jc w:val="center"/>
              <w:rPr>
                <w:rFonts w:hint="eastAsia" w:ascii="宋体" w:hAnsi="宋体" w:cs="Times New Roman"/>
                <w:color w:val="000000"/>
                <w:kern w:val="0"/>
                <w:sz w:val="18"/>
                <w:szCs w:val="18"/>
                <w:lang w:bidi="ar-SA"/>
              </w:rPr>
            </w:pPr>
            <w:r>
              <w:rPr>
                <w:rFonts w:hint="eastAsia" w:ascii="宋体" w:hAnsi="宋体" w:cs="Times New Roman"/>
                <w:color w:val="000000"/>
                <w:kern w:val="0"/>
                <w:sz w:val="18"/>
                <w:szCs w:val="18"/>
                <w:lang w:bidi="ar-SA"/>
              </w:rPr>
              <w:t>阳明学院</w:t>
            </w:r>
          </w:p>
        </w:tc>
        <w:tc>
          <w:tcPr>
            <w:tcW w:w="5845" w:type="dxa"/>
            <w:vAlign w:val="center"/>
          </w:tcPr>
          <w:p>
            <w:pPr>
              <w:widowControl/>
              <w:jc w:val="center"/>
              <w:rPr>
                <w:rFonts w:hint="eastAsia" w:ascii="宋体" w:hAnsi="宋体" w:cs="Times New Roman"/>
                <w:color w:val="000000"/>
                <w:kern w:val="0"/>
                <w:sz w:val="18"/>
                <w:szCs w:val="18"/>
                <w:lang w:bidi="ar-SA"/>
              </w:rPr>
            </w:pPr>
            <w:r>
              <w:rPr>
                <w:rFonts w:hint="eastAsia" w:ascii="宋体" w:hAnsi="宋体" w:cs="Times New Roman"/>
                <w:color w:val="000000"/>
                <w:kern w:val="0"/>
                <w:sz w:val="18"/>
                <w:szCs w:val="18"/>
                <w:lang w:bidi="ar-SA"/>
              </w:rPr>
              <w:t>王阳明的教育哲学与贵州大学阳明学院通识教育课程体系构建及其应用</w:t>
            </w:r>
          </w:p>
        </w:tc>
        <w:tc>
          <w:tcPr>
            <w:tcW w:w="630" w:type="dxa"/>
            <w:vAlign w:val="center"/>
          </w:tcPr>
          <w:p>
            <w:pPr>
              <w:widowControl/>
              <w:jc w:val="center"/>
              <w:rPr>
                <w:rFonts w:hint="eastAsia" w:ascii="宋体" w:hAns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hint="eastAsia" w:ascii="宋体" w:hAnsi="宋体" w:cs="Times New Roman"/>
                <w:color w:val="000000"/>
                <w:kern w:val="0"/>
                <w:sz w:val="18"/>
                <w:szCs w:val="18"/>
                <w:lang w:bidi="ar-SA"/>
              </w:rPr>
            </w:pPr>
            <w:r>
              <w:rPr>
                <w:rFonts w:hint="eastAsia" w:ascii="宋体" w:hAnsi="宋体" w:cs="Times New Roman"/>
                <w:color w:val="000000"/>
                <w:kern w:val="0"/>
                <w:sz w:val="18"/>
                <w:szCs w:val="18"/>
                <w:lang w:bidi="ar-SA"/>
              </w:rPr>
              <w:t>2</w:t>
            </w:r>
          </w:p>
        </w:tc>
        <w:tc>
          <w:tcPr>
            <w:tcW w:w="710" w:type="dxa"/>
            <w:vAlign w:val="top"/>
          </w:tcPr>
          <w:p>
            <w:pPr>
              <w:widowControl/>
              <w:jc w:val="center"/>
              <w:rPr>
                <w:rFonts w:hint="eastAsia" w:ascii="宋体" w:hAnsi="宋体" w:cs="Times New Roman"/>
                <w:color w:val="000000"/>
                <w:kern w:val="0"/>
                <w:sz w:val="18"/>
                <w:szCs w:val="18"/>
                <w:lang w:bidi="ar-SA"/>
              </w:rPr>
            </w:pPr>
            <w:r>
              <w:rPr>
                <w:rFonts w:hint="eastAsia" w:ascii="宋体" w:hAnsi="宋体" w:cs="Times New Roman"/>
                <w:color w:val="000000"/>
                <w:kern w:val="0"/>
                <w:sz w:val="18"/>
                <w:szCs w:val="18"/>
                <w:lang w:bidi="ar-SA"/>
              </w:rPr>
              <w:t>2016</w:t>
            </w:r>
          </w:p>
        </w:tc>
        <w:tc>
          <w:tcPr>
            <w:tcW w:w="1017" w:type="dxa"/>
            <w:vAlign w:val="center"/>
          </w:tcPr>
          <w:p>
            <w:pPr>
              <w:widowControl/>
              <w:jc w:val="center"/>
              <w:rPr>
                <w:rFonts w:hint="eastAsia" w:ascii="宋体" w:hAnsi="宋体" w:cs="Times New Roman"/>
                <w:color w:val="000000"/>
                <w:kern w:val="0"/>
                <w:sz w:val="18"/>
                <w:szCs w:val="18"/>
                <w:lang w:bidi="ar-SA"/>
              </w:rPr>
            </w:pPr>
            <w:r>
              <w:rPr>
                <w:rFonts w:hint="eastAsia" w:ascii="宋体" w:hAnsi="宋体" w:cs="Times New Roman"/>
                <w:color w:val="000000"/>
                <w:kern w:val="0"/>
                <w:sz w:val="18"/>
                <w:szCs w:val="18"/>
                <w:lang w:val="en-US" w:eastAsia="zh-CN" w:bidi="ar-SA"/>
              </w:rPr>
              <w:t>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hint="eastAsia" w:ascii="宋体" w:hAnsi="宋体" w:cs="Times New Roman" w:eastAsiaTheme="minorEastAsia"/>
                <w:color w:val="000000"/>
                <w:kern w:val="0"/>
                <w:sz w:val="18"/>
                <w:szCs w:val="18"/>
                <w:lang w:val="en-US" w:eastAsia="zh-CN" w:bidi="ar-SA"/>
              </w:rPr>
            </w:pPr>
            <w:r>
              <w:rPr>
                <w:rFonts w:hint="eastAsia" w:ascii="宋体" w:hAnsi="宋体" w:cs="Times New Roman"/>
                <w:color w:val="000000"/>
                <w:kern w:val="0"/>
                <w:sz w:val="18"/>
                <w:szCs w:val="18"/>
                <w:lang w:val="en-US" w:eastAsia="zh-CN" w:bidi="ar-SA"/>
              </w:rPr>
              <w:t>14</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牛</w:t>
            </w:r>
            <w:r>
              <w:rPr>
                <w:rFonts w:ascii="宋体" w:hAnsi="宋体" w:cs="Times New Roman"/>
                <w:color w:val="000000"/>
                <w:kern w:val="0"/>
                <w:sz w:val="18"/>
                <w:szCs w:val="18"/>
                <w:lang w:bidi="ar-SA"/>
              </w:rPr>
              <w:t xml:space="preserve">  </w:t>
            </w:r>
            <w:r>
              <w:rPr>
                <w:rFonts w:hint="eastAsia" w:ascii="宋体" w:hAnsi="宋体" w:cs="Times New Roman"/>
                <w:color w:val="000000"/>
                <w:kern w:val="0"/>
                <w:sz w:val="18"/>
                <w:szCs w:val="18"/>
                <w:lang w:bidi="ar-SA"/>
              </w:rPr>
              <w:t>坤</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计算机科学与技术学院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w:t>
            </w:r>
            <w:r>
              <w:rPr>
                <w:rFonts w:ascii="宋体" w:hAnsi="宋体" w:cs="Times New Roman"/>
                <w:color w:val="000000"/>
                <w:kern w:val="0"/>
                <w:sz w:val="18"/>
                <w:szCs w:val="18"/>
                <w:lang w:bidi="ar-SA"/>
              </w:rPr>
              <w:t>GIS</w:t>
            </w:r>
            <w:r>
              <w:rPr>
                <w:rFonts w:hint="eastAsia" w:ascii="宋体" w:hAnsi="宋体" w:cs="Times New Roman"/>
                <w:color w:val="000000"/>
                <w:kern w:val="0"/>
                <w:sz w:val="18"/>
                <w:szCs w:val="18"/>
                <w:lang w:bidi="ar-SA"/>
              </w:rPr>
              <w:t>技术与应用》课程创新实践教学改革研究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top"/>
          </w:tcPr>
          <w:p>
            <w:pPr>
              <w:jc w:val="center"/>
            </w:pPr>
            <w:r>
              <w:rPr>
                <w:rFonts w:ascii="宋体" w:cs="Times New Roman"/>
                <w:sz w:val="18"/>
                <w:szCs w:val="18"/>
              </w:rPr>
              <w:t>2016</w:t>
            </w:r>
          </w:p>
        </w:tc>
        <w:tc>
          <w:tcPr>
            <w:tcW w:w="1017" w:type="dxa"/>
            <w:vAlign w:val="center"/>
          </w:tcPr>
          <w:p>
            <w:pPr>
              <w:widowControl/>
              <w:jc w:val="center"/>
              <w:rPr>
                <w:rFonts w:ascii="宋体" w:cs="Times New Roman"/>
                <w:b/>
                <w:bCs/>
                <w:color w:val="000000"/>
                <w:kern w:val="0"/>
                <w:sz w:val="18"/>
                <w:szCs w:val="18"/>
                <w:lang w:bidi="ar-SA"/>
              </w:rPr>
            </w:pPr>
            <w:r>
              <w:rPr>
                <w:rFonts w:hint="eastAsia" w:ascii="宋体" w:cs="Times New Roman"/>
                <w:color w:val="000000"/>
                <w:kern w:val="0"/>
                <w:sz w:val="18"/>
                <w:szCs w:val="18"/>
                <w:lang w:val="en-US" w:eastAsia="zh-CN" w:bidi="ar-SA"/>
              </w:rPr>
              <w:t>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hint="eastAsia" w:ascii="宋体" w:hAnsi="宋体" w:cs="Times New Roman" w:eastAsiaTheme="minorEastAsia"/>
                <w:color w:val="000000"/>
                <w:kern w:val="0"/>
                <w:sz w:val="18"/>
                <w:szCs w:val="18"/>
                <w:lang w:val="en-US" w:eastAsia="zh-CN" w:bidi="ar-SA"/>
              </w:rPr>
            </w:pPr>
            <w:r>
              <w:rPr>
                <w:rFonts w:hint="eastAsia" w:ascii="宋体" w:hAnsi="宋体" w:cs="Times New Roman"/>
                <w:color w:val="000000"/>
                <w:kern w:val="0"/>
                <w:sz w:val="18"/>
                <w:szCs w:val="18"/>
                <w:lang w:val="en-US" w:eastAsia="zh-CN" w:bidi="ar-SA"/>
              </w:rPr>
              <w:t>15</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陈</w:t>
            </w:r>
            <w:r>
              <w:rPr>
                <w:rFonts w:ascii="宋体" w:hAnsi="宋体" w:cs="Times New Roman"/>
                <w:color w:val="000000"/>
                <w:kern w:val="0"/>
                <w:sz w:val="18"/>
                <w:szCs w:val="18"/>
                <w:lang w:bidi="ar-SA"/>
              </w:rPr>
              <w:t xml:space="preserve">  </w:t>
            </w:r>
            <w:r>
              <w:rPr>
                <w:rFonts w:hint="eastAsia" w:ascii="宋体" w:hAnsi="宋体" w:cs="Times New Roman"/>
                <w:color w:val="000000"/>
                <w:kern w:val="0"/>
                <w:sz w:val="18"/>
                <w:szCs w:val="18"/>
                <w:lang w:bidi="ar-SA"/>
              </w:rPr>
              <w:t>静</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大数据与信息工程学院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基于任务驱动的高级程序设计语言课程改革与实践</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top"/>
          </w:tcPr>
          <w:p>
            <w:pPr>
              <w:jc w:val="center"/>
            </w:pPr>
            <w:r>
              <w:rPr>
                <w:rFonts w:ascii="宋体" w:cs="Times New Roman"/>
                <w:sz w:val="18"/>
                <w:szCs w:val="18"/>
              </w:rPr>
              <w:t>2016</w:t>
            </w:r>
          </w:p>
        </w:tc>
        <w:tc>
          <w:tcPr>
            <w:tcW w:w="1017" w:type="dxa"/>
            <w:vAlign w:val="center"/>
          </w:tcPr>
          <w:p>
            <w:pPr>
              <w:widowControl/>
              <w:jc w:val="center"/>
              <w:rPr>
                <w:rFonts w:ascii="宋体" w:cs="Times New Roman"/>
                <w:b/>
                <w:bCs/>
                <w:color w:val="000000"/>
                <w:kern w:val="0"/>
                <w:sz w:val="18"/>
                <w:szCs w:val="18"/>
                <w:lang w:bidi="ar-SA"/>
              </w:rPr>
            </w:pPr>
            <w:r>
              <w:rPr>
                <w:rFonts w:hint="eastAsia" w:ascii="宋体" w:cs="Times New Roman"/>
                <w:color w:val="000000"/>
                <w:kern w:val="0"/>
                <w:sz w:val="18"/>
                <w:szCs w:val="18"/>
                <w:lang w:val="en-US" w:eastAsia="zh-CN" w:bidi="ar-SA"/>
              </w:rPr>
              <w:t>年度检查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618" w:type="dxa"/>
          </w:tcPr>
          <w:p>
            <w:pPr>
              <w:widowControl/>
              <w:jc w:val="center"/>
              <w:rPr>
                <w:rFonts w:hint="eastAsia" w:ascii="宋体" w:hAnsi="宋体" w:cs="Times New Roman"/>
                <w:color w:val="000000"/>
                <w:kern w:val="0"/>
                <w:sz w:val="18"/>
                <w:szCs w:val="18"/>
                <w:lang w:val="en-US" w:eastAsia="zh-CN" w:bidi="ar-SA"/>
              </w:rPr>
            </w:pPr>
            <w:r>
              <w:rPr>
                <w:rFonts w:hint="eastAsia" w:ascii="宋体" w:hAnsi="宋体" w:cs="Times New Roman"/>
                <w:color w:val="000000"/>
                <w:kern w:val="0"/>
                <w:sz w:val="18"/>
                <w:szCs w:val="18"/>
                <w:lang w:val="en-US" w:eastAsia="zh-CN" w:bidi="ar-SA"/>
              </w:rPr>
              <w:t>16</w:t>
            </w:r>
          </w:p>
        </w:tc>
        <w:tc>
          <w:tcPr>
            <w:tcW w:w="819"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王</w:t>
            </w:r>
            <w:r>
              <w:rPr>
                <w:rFonts w:ascii="宋体" w:hAnsi="宋体" w:cs="Times New Roman"/>
                <w:color w:val="000000"/>
                <w:kern w:val="0"/>
                <w:sz w:val="18"/>
                <w:szCs w:val="18"/>
                <w:lang w:bidi="ar-SA"/>
              </w:rPr>
              <w:t xml:space="preserve">  </w:t>
            </w:r>
            <w:r>
              <w:rPr>
                <w:rFonts w:hint="eastAsia" w:ascii="宋体" w:hAnsi="宋体" w:cs="Times New Roman"/>
                <w:color w:val="000000"/>
                <w:kern w:val="0"/>
                <w:sz w:val="18"/>
                <w:szCs w:val="18"/>
                <w:lang w:bidi="ar-SA"/>
              </w:rPr>
              <w:t>微</w:t>
            </w:r>
          </w:p>
        </w:tc>
        <w:tc>
          <w:tcPr>
            <w:tcW w:w="2016"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公共管理学院</w:t>
            </w:r>
          </w:p>
        </w:tc>
        <w:tc>
          <w:tcPr>
            <w:tcW w:w="5845"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贵州大学教师自我效能感及提升策略研究</w:t>
            </w:r>
          </w:p>
        </w:tc>
        <w:tc>
          <w:tcPr>
            <w:tcW w:w="630" w:type="dxa"/>
            <w:vAlign w:val="center"/>
          </w:tcPr>
          <w:p>
            <w:pPr>
              <w:widowControl/>
              <w:jc w:val="center"/>
              <w:rPr>
                <w:rFonts w:ascii="宋体" w:cs="Times New Roman"/>
                <w:color w:val="000000"/>
                <w:kern w:val="0"/>
                <w:sz w:val="18"/>
                <w:szCs w:val="18"/>
                <w:lang w:bidi="ar-SA"/>
              </w:rPr>
            </w:pPr>
            <w:r>
              <w:rPr>
                <w:rFonts w:hint="eastAsia" w:ascii="宋体" w:hAnsi="宋体" w:cs="Times New Roman"/>
                <w:color w:val="000000"/>
                <w:kern w:val="0"/>
                <w:sz w:val="18"/>
                <w:szCs w:val="18"/>
                <w:lang w:bidi="ar-SA"/>
              </w:rPr>
              <w:t>一般</w:t>
            </w:r>
          </w:p>
        </w:tc>
        <w:tc>
          <w:tcPr>
            <w:tcW w:w="900" w:type="dxa"/>
            <w:vAlign w:val="center"/>
          </w:tcPr>
          <w:p>
            <w:pPr>
              <w:widowControl/>
              <w:jc w:val="center"/>
              <w:rPr>
                <w:rFonts w:ascii="宋体" w:cs="Times New Roman"/>
                <w:color w:val="000000"/>
                <w:kern w:val="0"/>
                <w:sz w:val="18"/>
                <w:szCs w:val="18"/>
                <w:lang w:bidi="ar-SA"/>
              </w:rPr>
            </w:pPr>
            <w:r>
              <w:rPr>
                <w:rFonts w:ascii="宋体" w:hAnsi="宋体" w:cs="Times New Roman"/>
                <w:color w:val="000000"/>
                <w:kern w:val="0"/>
                <w:sz w:val="18"/>
                <w:szCs w:val="18"/>
                <w:lang w:bidi="ar-SA"/>
              </w:rPr>
              <w:t>2</w:t>
            </w:r>
          </w:p>
        </w:tc>
        <w:tc>
          <w:tcPr>
            <w:tcW w:w="710" w:type="dxa"/>
            <w:vAlign w:val="top"/>
          </w:tcPr>
          <w:p>
            <w:pPr>
              <w:jc w:val="center"/>
            </w:pPr>
            <w:r>
              <w:rPr>
                <w:rFonts w:ascii="宋体" w:cs="Times New Roman"/>
                <w:sz w:val="18"/>
                <w:szCs w:val="18"/>
              </w:rPr>
              <w:t>2016</w:t>
            </w:r>
          </w:p>
        </w:tc>
        <w:tc>
          <w:tcPr>
            <w:tcW w:w="1017" w:type="dxa"/>
            <w:vAlign w:val="center"/>
          </w:tcPr>
          <w:p>
            <w:pPr>
              <w:widowControl/>
              <w:jc w:val="center"/>
              <w:rPr>
                <w:rFonts w:ascii="宋体" w:cs="Times New Roman"/>
                <w:b/>
                <w:bCs/>
                <w:color w:val="000000"/>
                <w:kern w:val="0"/>
                <w:sz w:val="18"/>
                <w:szCs w:val="18"/>
                <w:lang w:bidi="ar-SA"/>
              </w:rPr>
            </w:pPr>
            <w:r>
              <w:rPr>
                <w:rFonts w:hint="eastAsia" w:ascii="宋体" w:cs="Times New Roman"/>
                <w:color w:val="000000"/>
                <w:kern w:val="0"/>
                <w:sz w:val="18"/>
                <w:szCs w:val="18"/>
                <w:lang w:val="en-US" w:eastAsia="zh-CN" w:bidi="ar-SA"/>
              </w:rPr>
              <w:t>年度检查</w:t>
            </w:r>
          </w:p>
        </w:tc>
      </w:tr>
    </w:tbl>
    <w:p>
      <w:pPr>
        <w:rPr>
          <w:rFonts w:eastAsia="仿宋_GB2312"/>
          <w:kern w:val="0"/>
          <w:sz w:val="32"/>
          <w:szCs w:val="32"/>
          <w:lang w:bidi="hi-I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ngal">
    <w:altName w:val="Arial Unicode MS"/>
    <w:panose1 w:val="00000400000000000000"/>
    <w:charset w:val="01"/>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13A73"/>
    <w:rsid w:val="143520B4"/>
    <w:rsid w:val="2CB30952"/>
    <w:rsid w:val="34E56156"/>
    <w:rsid w:val="34F83F25"/>
    <w:rsid w:val="36520F19"/>
    <w:rsid w:val="4ED21789"/>
    <w:rsid w:val="5769449B"/>
    <w:rsid w:val="5A182F65"/>
    <w:rsid w:val="609544E2"/>
    <w:rsid w:val="73320CED"/>
    <w:rsid w:val="7ECB0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lgl</dc:creator>
  <cp:lastModifiedBy>lgl</cp:lastModifiedBy>
  <dcterms:modified xsi:type="dcterms:W3CDTF">2018-03-08T02:35:35Z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